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40"/>
      </w:pPr>
      <w:r>
        <w:rPr>
          <w:b/>
          <w:bCs/>
          <w:color w:val="C2490C"/>
          <w:spacing w:val="40"/>
          <w:sz w:val="18"/>
          <w:szCs w:val="18"/>
        </w:rPr>
        <w:t xml:space="preserve">FICHA PARA GESTORÍAS</w:t>
      </w:r>
    </w:p>
    <w:p>
      <w:pPr>
        <w:spacing w:after="80" w:line="260"/>
      </w:pPr>
      <w:r>
        <w:rPr>
          <w:b/>
          <w:bCs/>
          <w:color w:val="111111"/>
          <w:sz w:val="44"/>
          <w:szCs w:val="44"/>
        </w:rPr>
        <w:t xml:space="preserve">Contabilidad completa con el agente financiero</w:t>
      </w:r>
    </w:p>
    <w:p>
      <w:pPr>
        <w:spacing w:after="200"/>
      </w:pPr>
      <w:r>
        <w:rPr>
          <w:color w:val="555555"/>
          <w:sz w:val="24"/>
          <w:szCs w:val="24"/>
        </w:rPr>
        <w:t xml:space="preserve">Qué se le puede dejar al agente, qué hace con ello y qué recibes tú para revisar, aconsejar y presentar.</w:t>
      </w:r>
    </w:p>
    <w:p>
      <w:pPr>
        <w:pStyle w:val="Heading1"/>
        <w:pBdr>
          <w:bottom w:val="single" w:color="C2490C" w:sz="6" w:space="4"/>
        </w:pBdr>
        <w:spacing w:after="120" w:before="320"/>
      </w:pPr>
      <w:r>
        <w:rPr>
          <w:b/>
          <w:bCs/>
          <w:color w:val="111111"/>
          <w:sz w:val="28"/>
          <w:szCs w:val="28"/>
        </w:rPr>
        <w:t xml:space="preserve">1. En una frase</w:t>
      </w:r>
    </w:p>
    <w:p>
      <w:pPr>
        <w:spacing w:after="120" w:line="300"/>
      </w:pPr>
      <w:r>
        <w:rPr>
          <w:color w:val="111111"/>
          <w:sz w:val="22"/>
          <w:szCs w:val="22"/>
        </w:rPr>
        <w:t xml:space="preserve">Tu cliente deja en su carpeta las facturas y, además, </w:t>
      </w:r>
      <w:r>
        <w:rPr>
          <w:b/>
          <w:bCs/>
          <w:color w:val="111111"/>
          <w:sz w:val="22"/>
          <w:szCs w:val="22"/>
        </w:rPr>
        <w:t xml:space="preserve">los extractos y resúmenes de movimientos del banco</w:t>
      </w:r>
      <w:r>
        <w:rPr>
          <w:color w:val="111111"/>
          <w:sz w:val="22"/>
          <w:szCs w:val="22"/>
        </w:rPr>
        <w:t xml:space="preserve">. El agente financiero puede, si el cliente lo quiere, hacer el </w:t>
      </w:r>
      <w:r>
        <w:rPr>
          <w:b/>
          <w:bCs/>
          <w:color w:val="111111"/>
          <w:sz w:val="22"/>
          <w:szCs w:val="22"/>
        </w:rPr>
        <w:t xml:space="preserve">trabajo completo de contabilidad</w:t>
      </w:r>
      <w:r>
        <w:rPr>
          <w:color w:val="111111"/>
          <w:sz w:val="22"/>
          <w:szCs w:val="22"/>
        </w:rPr>
        <w:t xml:space="preserve"> y entregártelo cuadrado y con lo que falta señalado. Lo revisas, aconsejas, firmas y presentas.</w:t>
      </w:r>
    </w:p>
    <w:p>
      <w:pPr>
        <w:pStyle w:val="Heading1"/>
        <w:pBdr>
          <w:bottom w:val="single" w:color="C2490C" w:sz="6" w:space="4"/>
        </w:pBdr>
        <w:spacing w:after="120" w:before="320"/>
      </w:pPr>
      <w:r>
        <w:rPr>
          <w:b/>
          <w:bCs/>
          <w:color w:val="111111"/>
          <w:sz w:val="28"/>
          <w:szCs w:val="28"/>
        </w:rPr>
        <w:t xml:space="preserve">2. Qué cambia y qué no</w:t>
      </w:r>
    </w:p>
    <w:p>
      <w:pPr>
        <w:spacing w:after="120" w:line="300"/>
      </w:pPr>
      <w:r>
        <w:rPr>
          <w:color w:val="111111"/>
          <w:sz w:val="22"/>
          <w:szCs w:val="22"/>
        </w:rPr>
        <w:t xml:space="preserve">No sustituimos a la gestoría ni competimos con ella. Son trabajos distintos: la gestoría cuadra las cuentas para que el cliente pague lo justo, aconseja, firma y presenta. El agente hace el trabajo pesado de ordenar, conciliar y asentar, y te lo deja listo para que te dediques a lo tuyo.</w:t>
      </w:r>
    </w:p>
    <w:p>
      <w:pPr>
        <w:spacing w:after="120" w:line="300"/>
      </w:pPr>
      <w:r>
        <w:rPr>
          <w:color w:val="111111"/>
          <w:sz w:val="22"/>
          <w:szCs w:val="22"/>
        </w:rPr>
        <w:t xml:space="preserve">Este modo es opcional y va incluido en el precio: no se paga aparte. El cliente decide si solo quiere el panel y los listados, o el trabajo entero. Y si un cliente quiere que se lo des todo hecho, contabilidad incluida, puedes ofrecérselo como servicio tuyo.</w:t>
      </w:r>
    </w:p>
    <w:p>
      <w:pPr>
        <w:pStyle w:val="Heading1"/>
        <w:pBdr>
          <w:bottom w:val="single" w:color="C2490C" w:sz="6" w:space="4"/>
        </w:pBdr>
        <w:spacing w:after="120" w:before="320"/>
      </w:pPr>
      <w:r>
        <w:rPr>
          <w:b/>
          <w:bCs/>
          <w:color w:val="111111"/>
          <w:sz w:val="28"/>
          <w:szCs w:val="28"/>
        </w:rPr>
        <w:t xml:space="preserve">3. Qué puede dejar el cliente en su carpeta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color w:val="111111"/>
          <w:sz w:val="22"/>
          <w:szCs w:val="22"/>
        </w:rPr>
        <w:t xml:space="preserve">Facturas emitidas y recibidas.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b/>
          <w:bCs/>
          <w:color w:val="111111"/>
          <w:sz w:val="22"/>
          <w:szCs w:val="22"/>
        </w:rPr>
        <w:t xml:space="preserve">Extractos y resúmenes de movimientos del banco</w:t>
      </w:r>
      <w:r>
        <w:rPr>
          <w:color w:val="111111"/>
          <w:sz w:val="22"/>
          <w:szCs w:val="22"/>
        </w:rPr>
        <w:t xml:space="preserve"> (PDF, Excel o CSV; también el cuaderno 43 si el banco lo facilita).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color w:val="111111"/>
          <w:sz w:val="22"/>
          <w:szCs w:val="22"/>
        </w:rPr>
        <w:t xml:space="preserve">Tickets y gastos sueltos.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color w:val="111111"/>
          <w:sz w:val="22"/>
          <w:szCs w:val="22"/>
        </w:rPr>
        <w:t xml:space="preserve">Nóminas y seguros sociales, recibos de autónomos e impuestos ya pagados.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color w:val="111111"/>
          <w:sz w:val="22"/>
          <w:szCs w:val="22"/>
        </w:rPr>
        <w:t xml:space="preserve">Préstamos, leasings, alquileres y cuotas.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color w:val="111111"/>
          <w:sz w:val="22"/>
          <w:szCs w:val="22"/>
        </w:rPr>
        <w:t xml:space="preserve">En comunidades de propietarios: derramas, recibos y cuentas del ejercicio.</w:t>
      </w:r>
    </w:p>
    <w:p>
      <w:pPr>
        <w:spacing w:after="120" w:before="80"/>
      </w:pPr>
      <w:r>
        <w:rPr>
          <w:color w:val="111111"/>
          <w:sz w:val="22"/>
          <w:szCs w:val="22"/>
        </w:rPr>
        <w:t xml:space="preserve">No hace falta que vengan ordenados. Nunca se piden claves de banca online ni acceso a la cuenta: solo los documentos que el cliente exporta.</w:t>
      </w:r>
    </w:p>
    <w:p>
      <w:pPr>
        <w:pStyle w:val="Heading1"/>
        <w:pBdr>
          <w:bottom w:val="single" w:color="C2490C" w:sz="6" w:space="4"/>
        </w:pBdr>
        <w:spacing w:after="120" w:before="320"/>
      </w:pPr>
      <w:r>
        <w:rPr>
          <w:b/>
          <w:bCs/>
          <w:color w:val="111111"/>
          <w:sz w:val="28"/>
          <w:szCs w:val="28"/>
        </w:rPr>
        <w:t xml:space="preserve">4. Qué hace el agente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00"/>
        <w:gridCol w:w="3300"/>
        <w:gridCol w:w="5738"/>
      </w:tblGrid>
      <w:tr>
        <w:trPr>
          <w:tblHeader/>
        </w:trPr>
        <w:tc>
          <w:tcPr>
            <w:tcW w:type="dxa" w:w="600"/>
            <w:tcBorders>
              <w:top w:val="single" w:color="D8D8D6" w:sz="4"/>
              <w:left w:val="single" w:color="D8D8D6" w:sz="4"/>
              <w:bottom w:val="single" w:color="D8D8D6" w:sz="4"/>
              <w:right w:val="single" w:color="D8D8D6" w:sz="4"/>
            </w:tcBorders>
            <w:shd w:fill="F2F1EE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70"/>
            </w:pPr>
            <w:r>
              <w:rPr>
                <w:b/>
                <w:bCs/>
                <w:color w:val="111111"/>
                <w:sz w:val="19"/>
                <w:szCs w:val="19"/>
              </w:rPr>
              <w:t xml:space="preserve">#</w:t>
            </w:r>
          </w:p>
        </w:tc>
        <w:tc>
          <w:tcPr>
            <w:tcW w:type="dxa" w:w="3300"/>
            <w:tcBorders>
              <w:top w:val="single" w:color="D8D8D6" w:sz="4"/>
              <w:left w:val="single" w:color="D8D8D6" w:sz="4"/>
              <w:bottom w:val="single" w:color="D8D8D6" w:sz="4"/>
              <w:right w:val="single" w:color="D8D8D6" w:sz="4"/>
            </w:tcBorders>
            <w:shd w:fill="F2F1EE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70"/>
            </w:pPr>
            <w:r>
              <w:rPr>
                <w:b/>
                <w:bCs/>
                <w:color w:val="111111"/>
                <w:sz w:val="19"/>
                <w:szCs w:val="19"/>
              </w:rPr>
              <w:t xml:space="preserve">Paso</w:t>
            </w:r>
          </w:p>
        </w:tc>
        <w:tc>
          <w:tcPr>
            <w:tcW w:type="dxa" w:w="5738"/>
            <w:tcBorders>
              <w:top w:val="single" w:color="D8D8D6" w:sz="4"/>
              <w:left w:val="single" w:color="D8D8D6" w:sz="4"/>
              <w:bottom w:val="single" w:color="D8D8D6" w:sz="4"/>
              <w:right w:val="single" w:color="D8D8D6" w:sz="4"/>
            </w:tcBorders>
            <w:shd w:fill="F2F1EE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70"/>
            </w:pPr>
            <w:r>
              <w:rPr>
                <w:b/>
                <w:bCs/>
                <w:color w:val="111111"/>
                <w:sz w:val="19"/>
                <w:szCs w:val="19"/>
              </w:rPr>
              <w:t xml:space="preserve">Qué ocurre</w:t>
            </w:r>
          </w:p>
        </w:tc>
      </w:tr>
      <w:tr>
        <w:trPr>
          <w:cantSplit/>
        </w:trPr>
        <w:tc>
          <w:tcPr>
            <w:tcW w:type="dxa" w:w="600"/>
            <w:tcBorders>
              <w:top w:val="single" w:color="D8D8D6" w:sz="4"/>
              <w:left w:val="single" w:color="D8D8D6" w:sz="4"/>
              <w:bottom w:val="single" w:color="D8D8D6" w:sz="4"/>
              <w:right w:val="single" w:color="D8D8D6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70"/>
            </w:pPr>
            <w:r>
              <w:rPr>
                <w:b w:val="false"/>
                <w:bCs w:val="false"/>
                <w:color w:val="111111"/>
                <w:sz w:val="20"/>
                <w:szCs w:val="20"/>
              </w:rPr>
              <w:t xml:space="preserve">1</w:t>
            </w:r>
          </w:p>
        </w:tc>
        <w:tc>
          <w:tcPr>
            <w:tcW w:type="dxa" w:w="3300"/>
            <w:tcBorders>
              <w:top w:val="single" w:color="D8D8D6" w:sz="4"/>
              <w:left w:val="single" w:color="D8D8D6" w:sz="4"/>
              <w:bottom w:val="single" w:color="D8D8D6" w:sz="4"/>
              <w:right w:val="single" w:color="D8D8D6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70"/>
            </w:pPr>
            <w:r>
              <w:rPr>
                <w:b w:val="false"/>
                <w:bCs w:val="false"/>
                <w:color w:val="111111"/>
                <w:sz w:val="20"/>
                <w:szCs w:val="20"/>
              </w:rPr>
              <w:t xml:space="preserve">Inventario y completitud</w:t>
            </w:r>
          </w:p>
        </w:tc>
        <w:tc>
          <w:tcPr>
            <w:tcW w:type="dxa" w:w="5738"/>
            <w:tcBorders>
              <w:top w:val="single" w:color="D8D8D6" w:sz="4"/>
              <w:left w:val="single" w:color="D8D8D6" w:sz="4"/>
              <w:bottom w:val="single" w:color="D8D8D6" w:sz="4"/>
              <w:right w:val="single" w:color="D8D8D6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70"/>
            </w:pPr>
            <w:r>
              <w:rPr>
                <w:b w:val="false"/>
                <w:bCs w:val="false"/>
                <w:color w:val="111111"/>
                <w:sz w:val="20"/>
                <w:szCs w:val="20"/>
              </w:rPr>
              <w:t xml:space="preserve">Qué periodos hay, qué meses de extracto faltan y si hay huecos en la numeración de facturas.</w:t>
            </w:r>
          </w:p>
        </w:tc>
      </w:tr>
      <w:tr>
        <w:trPr>
          <w:cantSplit/>
        </w:trPr>
        <w:tc>
          <w:tcPr>
            <w:tcW w:type="dxa" w:w="600"/>
            <w:tcBorders>
              <w:top w:val="single" w:color="D8D8D6" w:sz="4"/>
              <w:left w:val="single" w:color="D8D8D6" w:sz="4"/>
              <w:bottom w:val="single" w:color="D8D8D6" w:sz="4"/>
              <w:right w:val="single" w:color="D8D8D6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70"/>
            </w:pPr>
            <w:r>
              <w:rPr>
                <w:b w:val="false"/>
                <w:bCs w:val="false"/>
                <w:color w:val="111111"/>
                <w:sz w:val="20"/>
                <w:szCs w:val="20"/>
              </w:rPr>
              <w:t xml:space="preserve">2</w:t>
            </w:r>
          </w:p>
        </w:tc>
        <w:tc>
          <w:tcPr>
            <w:tcW w:type="dxa" w:w="3300"/>
            <w:tcBorders>
              <w:top w:val="single" w:color="D8D8D6" w:sz="4"/>
              <w:left w:val="single" w:color="D8D8D6" w:sz="4"/>
              <w:bottom w:val="single" w:color="D8D8D6" w:sz="4"/>
              <w:right w:val="single" w:color="D8D8D6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70"/>
            </w:pPr>
            <w:r>
              <w:rPr>
                <w:b w:val="false"/>
                <w:bCs w:val="false"/>
                <w:color w:val="111111"/>
                <w:sz w:val="20"/>
                <w:szCs w:val="20"/>
              </w:rPr>
              <w:t xml:space="preserve">Lectura del banco</w:t>
            </w:r>
          </w:p>
        </w:tc>
        <w:tc>
          <w:tcPr>
            <w:tcW w:type="dxa" w:w="5738"/>
            <w:tcBorders>
              <w:top w:val="single" w:color="D8D8D6" w:sz="4"/>
              <w:left w:val="single" w:color="D8D8D6" w:sz="4"/>
              <w:bottom w:val="single" w:color="D8D8D6" w:sz="4"/>
              <w:right w:val="single" w:color="D8D8D6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70"/>
            </w:pPr>
            <w:r>
              <w:rPr>
                <w:b w:val="false"/>
                <w:bCs w:val="false"/>
                <w:color w:val="111111"/>
                <w:sz w:val="20"/>
                <w:szCs w:val="20"/>
              </w:rPr>
              <w:t xml:space="preserve">Extrae cada movimiento y comprueba que el saldo encadena de uno al siguiente.</w:t>
            </w:r>
          </w:p>
        </w:tc>
      </w:tr>
      <w:tr>
        <w:trPr>
          <w:cantSplit/>
        </w:trPr>
        <w:tc>
          <w:tcPr>
            <w:tcW w:type="dxa" w:w="600"/>
            <w:tcBorders>
              <w:top w:val="single" w:color="D8D8D6" w:sz="4"/>
              <w:left w:val="single" w:color="D8D8D6" w:sz="4"/>
              <w:bottom w:val="single" w:color="D8D8D6" w:sz="4"/>
              <w:right w:val="single" w:color="D8D8D6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70"/>
            </w:pPr>
            <w:r>
              <w:rPr>
                <w:b w:val="false"/>
                <w:bCs w:val="false"/>
                <w:color w:val="111111"/>
                <w:sz w:val="20"/>
                <w:szCs w:val="20"/>
              </w:rPr>
              <w:t xml:space="preserve">3</w:t>
            </w:r>
          </w:p>
        </w:tc>
        <w:tc>
          <w:tcPr>
            <w:tcW w:type="dxa" w:w="3300"/>
            <w:tcBorders>
              <w:top w:val="single" w:color="D8D8D6" w:sz="4"/>
              <w:left w:val="single" w:color="D8D8D6" w:sz="4"/>
              <w:bottom w:val="single" w:color="D8D8D6" w:sz="4"/>
              <w:right w:val="single" w:color="D8D8D6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70"/>
            </w:pPr>
            <w:r>
              <w:rPr>
                <w:b w:val="false"/>
                <w:bCs w:val="false"/>
                <w:color w:val="111111"/>
                <w:sz w:val="20"/>
                <w:szCs w:val="20"/>
              </w:rPr>
              <w:t xml:space="preserve">Conciliación</w:t>
            </w:r>
          </w:p>
        </w:tc>
        <w:tc>
          <w:tcPr>
            <w:tcW w:type="dxa" w:w="5738"/>
            <w:tcBorders>
              <w:top w:val="single" w:color="D8D8D6" w:sz="4"/>
              <w:left w:val="single" w:color="D8D8D6" w:sz="4"/>
              <w:bottom w:val="single" w:color="D8D8D6" w:sz="4"/>
              <w:right w:val="single" w:color="D8D8D6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70"/>
            </w:pPr>
            <w:r>
              <w:rPr>
                <w:b w:val="false"/>
                <w:bCs w:val="false"/>
                <w:color w:val="111111"/>
                <w:sz w:val="20"/>
                <w:szCs w:val="20"/>
              </w:rPr>
              <w:t xml:space="preserve">Casa cada cobro y cada pago con su factura. Lo que no casa va a la lista «por aclarar».</w:t>
            </w:r>
          </w:p>
        </w:tc>
      </w:tr>
      <w:tr>
        <w:trPr>
          <w:cantSplit/>
        </w:trPr>
        <w:tc>
          <w:tcPr>
            <w:tcW w:type="dxa" w:w="600"/>
            <w:tcBorders>
              <w:top w:val="single" w:color="D8D8D6" w:sz="4"/>
              <w:left w:val="single" w:color="D8D8D6" w:sz="4"/>
              <w:bottom w:val="single" w:color="D8D8D6" w:sz="4"/>
              <w:right w:val="single" w:color="D8D8D6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70"/>
            </w:pPr>
            <w:r>
              <w:rPr>
                <w:b w:val="false"/>
                <w:bCs w:val="false"/>
                <w:color w:val="111111"/>
                <w:sz w:val="20"/>
                <w:szCs w:val="20"/>
              </w:rPr>
              <w:t xml:space="preserve">4</w:t>
            </w:r>
          </w:p>
        </w:tc>
        <w:tc>
          <w:tcPr>
            <w:tcW w:type="dxa" w:w="3300"/>
            <w:tcBorders>
              <w:top w:val="single" w:color="D8D8D6" w:sz="4"/>
              <w:left w:val="single" w:color="D8D8D6" w:sz="4"/>
              <w:bottom w:val="single" w:color="D8D8D6" w:sz="4"/>
              <w:right w:val="single" w:color="D8D8D6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70"/>
            </w:pPr>
            <w:r>
              <w:rPr>
                <w:b w:val="false"/>
                <w:bCs w:val="false"/>
                <w:color w:val="111111"/>
                <w:sz w:val="20"/>
                <w:szCs w:val="20"/>
              </w:rPr>
              <w:t xml:space="preserve">Clasificación contable</w:t>
            </w:r>
          </w:p>
        </w:tc>
        <w:tc>
          <w:tcPr>
            <w:tcW w:type="dxa" w:w="5738"/>
            <w:tcBorders>
              <w:top w:val="single" w:color="D8D8D6" w:sz="4"/>
              <w:left w:val="single" w:color="D8D8D6" w:sz="4"/>
              <w:bottom w:val="single" w:color="D8D8D6" w:sz="4"/>
              <w:right w:val="single" w:color="D8D8D6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70"/>
            </w:pPr>
            <w:r>
              <w:rPr>
                <w:b w:val="false"/>
                <w:bCs w:val="false"/>
                <w:color w:val="111111"/>
                <w:sz w:val="20"/>
                <w:szCs w:val="20"/>
              </w:rPr>
              <w:t xml:space="preserve">Cada movimiento a su cuenta del plan contable (PGC de pymes, o el plan de la comunidad). Si el criterio no es evidente, pregunta; no adivina.</w:t>
            </w:r>
          </w:p>
        </w:tc>
      </w:tr>
      <w:tr>
        <w:trPr>
          <w:cantSplit/>
        </w:trPr>
        <w:tc>
          <w:tcPr>
            <w:tcW w:type="dxa" w:w="600"/>
            <w:tcBorders>
              <w:top w:val="single" w:color="D8D8D6" w:sz="4"/>
              <w:left w:val="single" w:color="D8D8D6" w:sz="4"/>
              <w:bottom w:val="single" w:color="D8D8D6" w:sz="4"/>
              <w:right w:val="single" w:color="D8D8D6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70"/>
            </w:pPr>
            <w:r>
              <w:rPr>
                <w:b w:val="false"/>
                <w:bCs w:val="false"/>
                <w:color w:val="111111"/>
                <w:sz w:val="20"/>
                <w:szCs w:val="20"/>
              </w:rPr>
              <w:t xml:space="preserve">5</w:t>
            </w:r>
          </w:p>
        </w:tc>
        <w:tc>
          <w:tcPr>
            <w:tcW w:type="dxa" w:w="3300"/>
            <w:tcBorders>
              <w:top w:val="single" w:color="D8D8D6" w:sz="4"/>
              <w:left w:val="single" w:color="D8D8D6" w:sz="4"/>
              <w:bottom w:val="single" w:color="D8D8D6" w:sz="4"/>
              <w:right w:val="single" w:color="D8D8D6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70"/>
            </w:pPr>
            <w:r>
              <w:rPr>
                <w:b w:val="false"/>
                <w:bCs w:val="false"/>
                <w:color w:val="111111"/>
                <w:sz w:val="20"/>
                <w:szCs w:val="20"/>
              </w:rPr>
              <w:t xml:space="preserve">Asientos</w:t>
            </w:r>
          </w:p>
        </w:tc>
        <w:tc>
          <w:tcPr>
            <w:tcW w:type="dxa" w:w="5738"/>
            <w:tcBorders>
              <w:top w:val="single" w:color="D8D8D6" w:sz="4"/>
              <w:left w:val="single" w:color="D8D8D6" w:sz="4"/>
              <w:bottom w:val="single" w:color="D8D8D6" w:sz="4"/>
              <w:right w:val="single" w:color="D8D8D6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70"/>
            </w:pPr>
            <w:r>
              <w:rPr>
                <w:b w:val="false"/>
                <w:bCs w:val="false"/>
                <w:color w:val="111111"/>
                <w:sz w:val="20"/>
                <w:szCs w:val="20"/>
              </w:rPr>
              <w:t xml:space="preserve">Libro diario y libro mayor.</w:t>
            </w:r>
          </w:p>
        </w:tc>
      </w:tr>
      <w:tr>
        <w:trPr>
          <w:cantSplit/>
        </w:trPr>
        <w:tc>
          <w:tcPr>
            <w:tcW w:type="dxa" w:w="600"/>
            <w:tcBorders>
              <w:top w:val="single" w:color="D8D8D6" w:sz="4"/>
              <w:left w:val="single" w:color="D8D8D6" w:sz="4"/>
              <w:bottom w:val="single" w:color="D8D8D6" w:sz="4"/>
              <w:right w:val="single" w:color="D8D8D6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70"/>
            </w:pPr>
            <w:r>
              <w:rPr>
                <w:b w:val="false"/>
                <w:bCs w:val="false"/>
                <w:color w:val="111111"/>
                <w:sz w:val="20"/>
                <w:szCs w:val="20"/>
              </w:rPr>
              <w:t xml:space="preserve">6</w:t>
            </w:r>
          </w:p>
        </w:tc>
        <w:tc>
          <w:tcPr>
            <w:tcW w:type="dxa" w:w="3300"/>
            <w:tcBorders>
              <w:top w:val="single" w:color="D8D8D6" w:sz="4"/>
              <w:left w:val="single" w:color="D8D8D6" w:sz="4"/>
              <w:bottom w:val="single" w:color="D8D8D6" w:sz="4"/>
              <w:right w:val="single" w:color="D8D8D6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70"/>
            </w:pPr>
            <w:r>
              <w:rPr>
                <w:b w:val="false"/>
                <w:bCs w:val="false"/>
                <w:color w:val="111111"/>
                <w:sz w:val="20"/>
                <w:szCs w:val="20"/>
              </w:rPr>
              <w:t xml:space="preserve">Sumas y saldos</w:t>
            </w:r>
          </w:p>
        </w:tc>
        <w:tc>
          <w:tcPr>
            <w:tcW w:type="dxa" w:w="5738"/>
            <w:tcBorders>
              <w:top w:val="single" w:color="D8D8D6" w:sz="4"/>
              <w:left w:val="single" w:color="D8D8D6" w:sz="4"/>
              <w:bottom w:val="single" w:color="D8D8D6" w:sz="4"/>
              <w:right w:val="single" w:color="D8D8D6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70"/>
            </w:pPr>
            <w:r>
              <w:rPr>
                <w:b w:val="false"/>
                <w:bCs w:val="false"/>
                <w:color w:val="111111"/>
                <w:sz w:val="20"/>
                <w:szCs w:val="20"/>
              </w:rPr>
              <w:t xml:space="preserve">Comprueba que debe = haber y que el saldo contable del banco coincide con el del extracto.</w:t>
            </w:r>
          </w:p>
        </w:tc>
      </w:tr>
      <w:tr>
        <w:trPr>
          <w:cantSplit/>
        </w:trPr>
        <w:tc>
          <w:tcPr>
            <w:tcW w:type="dxa" w:w="600"/>
            <w:tcBorders>
              <w:top w:val="single" w:color="D8D8D6" w:sz="4"/>
              <w:left w:val="single" w:color="D8D8D6" w:sz="4"/>
              <w:bottom w:val="single" w:color="D8D8D6" w:sz="4"/>
              <w:right w:val="single" w:color="D8D8D6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70"/>
            </w:pPr>
            <w:r>
              <w:rPr>
                <w:b w:val="false"/>
                <w:bCs w:val="false"/>
                <w:color w:val="111111"/>
                <w:sz w:val="20"/>
                <w:szCs w:val="20"/>
              </w:rPr>
              <w:t xml:space="preserve">7</w:t>
            </w:r>
          </w:p>
        </w:tc>
        <w:tc>
          <w:tcPr>
            <w:tcW w:type="dxa" w:w="3300"/>
            <w:tcBorders>
              <w:top w:val="single" w:color="D8D8D6" w:sz="4"/>
              <w:left w:val="single" w:color="D8D8D6" w:sz="4"/>
              <w:bottom w:val="single" w:color="D8D8D6" w:sz="4"/>
              <w:right w:val="single" w:color="D8D8D6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70"/>
            </w:pPr>
            <w:r>
              <w:rPr>
                <w:b w:val="false"/>
                <w:bCs w:val="false"/>
                <w:color w:val="111111"/>
                <w:sz w:val="20"/>
                <w:szCs w:val="20"/>
              </w:rPr>
              <w:t xml:space="preserve">IVA</w:t>
            </w:r>
          </w:p>
        </w:tc>
        <w:tc>
          <w:tcPr>
            <w:tcW w:type="dxa" w:w="5738"/>
            <w:tcBorders>
              <w:top w:val="single" w:color="D8D8D6" w:sz="4"/>
              <w:left w:val="single" w:color="D8D8D6" w:sz="4"/>
              <w:bottom w:val="single" w:color="D8D8D6" w:sz="4"/>
              <w:right w:val="single" w:color="D8D8D6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70"/>
            </w:pPr>
            <w:r>
              <w:rPr>
                <w:b w:val="false"/>
                <w:bCs w:val="false"/>
                <w:color w:val="111111"/>
                <w:sz w:val="20"/>
                <w:szCs w:val="20"/>
              </w:rPr>
              <w:t xml:space="preserve">Libros registro de IVA (emitidas y recibidas) y cuadro orientativo del modelo 303.</w:t>
            </w:r>
          </w:p>
        </w:tc>
      </w:tr>
      <w:tr>
        <w:trPr>
          <w:cantSplit/>
        </w:trPr>
        <w:tc>
          <w:tcPr>
            <w:tcW w:type="dxa" w:w="600"/>
            <w:tcBorders>
              <w:top w:val="single" w:color="D8D8D6" w:sz="4"/>
              <w:left w:val="single" w:color="D8D8D6" w:sz="4"/>
              <w:bottom w:val="single" w:color="D8D8D6" w:sz="4"/>
              <w:right w:val="single" w:color="D8D8D6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70"/>
            </w:pPr>
            <w:r>
              <w:rPr>
                <w:b w:val="false"/>
                <w:bCs w:val="false"/>
                <w:color w:val="111111"/>
                <w:sz w:val="20"/>
                <w:szCs w:val="20"/>
              </w:rPr>
              <w:t xml:space="preserve">8</w:t>
            </w:r>
          </w:p>
        </w:tc>
        <w:tc>
          <w:tcPr>
            <w:tcW w:type="dxa" w:w="3300"/>
            <w:tcBorders>
              <w:top w:val="single" w:color="D8D8D6" w:sz="4"/>
              <w:left w:val="single" w:color="D8D8D6" w:sz="4"/>
              <w:bottom w:val="single" w:color="D8D8D6" w:sz="4"/>
              <w:right w:val="single" w:color="D8D8D6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70"/>
            </w:pPr>
            <w:r>
              <w:rPr>
                <w:b w:val="false"/>
                <w:bCs w:val="false"/>
                <w:color w:val="111111"/>
                <w:sz w:val="20"/>
                <w:szCs w:val="20"/>
              </w:rPr>
              <w:t xml:space="preserve">Cierre</w:t>
            </w:r>
          </w:p>
        </w:tc>
        <w:tc>
          <w:tcPr>
            <w:tcW w:type="dxa" w:w="5738"/>
            <w:tcBorders>
              <w:top w:val="single" w:color="D8D8D6" w:sz="4"/>
              <w:left w:val="single" w:color="D8D8D6" w:sz="4"/>
              <w:bottom w:val="single" w:color="D8D8D6" w:sz="4"/>
              <w:right w:val="single" w:color="D8D8D6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70"/>
            </w:pPr>
            <w:r>
              <w:rPr>
                <w:b w:val="false"/>
                <w:bCs w:val="false"/>
                <w:color w:val="111111"/>
                <w:sz w:val="20"/>
                <w:szCs w:val="20"/>
              </w:rPr>
              <w:t xml:space="preserve">Propone periodificaciones, amortizaciones y provisión de insolvencias, siempre con el supuesto a la vista.</w:t>
            </w:r>
          </w:p>
        </w:tc>
      </w:tr>
      <w:tr>
        <w:trPr>
          <w:cantSplit/>
        </w:trPr>
        <w:tc>
          <w:tcPr>
            <w:tcW w:type="dxa" w:w="600"/>
            <w:tcBorders>
              <w:top w:val="single" w:color="D8D8D6" w:sz="4"/>
              <w:left w:val="single" w:color="D8D8D6" w:sz="4"/>
              <w:bottom w:val="single" w:color="D8D8D6" w:sz="4"/>
              <w:right w:val="single" w:color="D8D8D6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70"/>
            </w:pPr>
            <w:r>
              <w:rPr>
                <w:b w:val="false"/>
                <w:bCs w:val="false"/>
                <w:color w:val="111111"/>
                <w:sz w:val="20"/>
                <w:szCs w:val="20"/>
              </w:rPr>
              <w:t xml:space="preserve">9</w:t>
            </w:r>
          </w:p>
        </w:tc>
        <w:tc>
          <w:tcPr>
            <w:tcW w:type="dxa" w:w="3300"/>
            <w:tcBorders>
              <w:top w:val="single" w:color="D8D8D6" w:sz="4"/>
              <w:left w:val="single" w:color="D8D8D6" w:sz="4"/>
              <w:bottom w:val="single" w:color="D8D8D6" w:sz="4"/>
              <w:right w:val="single" w:color="D8D8D6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70"/>
            </w:pPr>
            <w:r>
              <w:rPr>
                <w:b w:val="false"/>
                <w:bCs w:val="false"/>
                <w:color w:val="111111"/>
                <w:sz w:val="20"/>
                <w:szCs w:val="20"/>
              </w:rPr>
              <w:t xml:space="preserve">Cuentas en borrador</w:t>
            </w:r>
          </w:p>
        </w:tc>
        <w:tc>
          <w:tcPr>
            <w:tcW w:type="dxa" w:w="5738"/>
            <w:tcBorders>
              <w:top w:val="single" w:color="D8D8D6" w:sz="4"/>
              <w:left w:val="single" w:color="D8D8D6" w:sz="4"/>
              <w:bottom w:val="single" w:color="D8D8D6" w:sz="4"/>
              <w:right w:val="single" w:color="D8D8D6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70"/>
            </w:pPr>
            <w:r>
              <w:rPr>
                <w:b w:val="false"/>
                <w:bCs w:val="false"/>
                <w:color w:val="111111"/>
                <w:sz w:val="20"/>
                <w:szCs w:val="20"/>
              </w:rPr>
              <w:t xml:space="preserve">Balance de situación y cuenta de pérdidas y ganancias.</w:t>
            </w:r>
          </w:p>
        </w:tc>
      </w:tr>
    </w:tbl>
    <w:p>
      <w:pPr>
        <w:pStyle w:val="Heading1"/>
        <w:pBdr>
          <w:bottom w:val="single" w:color="C2490C" w:sz="6" w:space="4"/>
        </w:pBdr>
        <w:spacing w:after="120" w:before="320"/>
      </w:pPr>
      <w:r>
        <w:rPr>
          <w:b/>
          <w:bCs/>
          <w:color w:val="111111"/>
          <w:sz w:val="28"/>
          <w:szCs w:val="28"/>
        </w:rPr>
        <w:t xml:space="preserve">5. Qué recibes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b/>
          <w:bCs/>
          <w:color w:val="111111"/>
          <w:sz w:val="22"/>
          <w:szCs w:val="22"/>
        </w:rPr>
        <w:t xml:space="preserve">Excel contable: </w:t>
      </w:r>
      <w:r>
        <w:rPr>
          <w:color w:val="111111"/>
          <w:sz w:val="22"/>
          <w:szCs w:val="22"/>
        </w:rPr>
        <w:t xml:space="preserve">diario, mayor, sumas y saldos, libros de IVA, conciliación bancaria y lista de pendientes («por aclarar» y «sin soporte»).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b/>
          <w:bCs/>
          <w:color w:val="111111"/>
          <w:sz w:val="22"/>
          <w:szCs w:val="22"/>
        </w:rPr>
        <w:t xml:space="preserve">Cuentas en borrador: </w:t>
      </w:r>
      <w:r>
        <w:rPr>
          <w:color w:val="111111"/>
          <w:sz w:val="22"/>
          <w:szCs w:val="22"/>
        </w:rPr>
        <w:t xml:space="preserve">balance y pérdidas y ganancias.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b/>
          <w:bCs/>
          <w:color w:val="111111"/>
          <w:sz w:val="22"/>
          <w:szCs w:val="22"/>
        </w:rPr>
        <w:t xml:space="preserve">En comunidades: </w:t>
      </w:r>
      <w:r>
        <w:rPr>
          <w:color w:val="111111"/>
          <w:sz w:val="22"/>
          <w:szCs w:val="22"/>
        </w:rPr>
        <w:t xml:space="preserve">la liquidación en formato estándar (saldo anterior + ingresos − gastos = saldo, con la justificación del saldo contra el banco), sin marca de ElectroAsesor, para que la presentes como trabajo tuyo. El dosier de morosos por vecino va aparte.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b/>
          <w:bCs/>
          <w:color w:val="111111"/>
          <w:sz w:val="22"/>
          <w:szCs w:val="22"/>
        </w:rPr>
        <w:t xml:space="preserve">Ficha de entrega: </w:t>
      </w:r>
      <w:r>
        <w:rPr>
          <w:color w:val="111111"/>
          <w:sz w:val="22"/>
          <w:szCs w:val="22"/>
        </w:rPr>
        <w:t xml:space="preserve">qué se ha hecho, qué supuestos se han usado y qué queda por revisar.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b/>
          <w:bCs/>
          <w:color w:val="111111"/>
          <w:sz w:val="22"/>
          <w:szCs w:val="22"/>
        </w:rPr>
        <w:t xml:space="preserve">Panel semanal por cliente: </w:t>
      </w:r>
      <w:r>
        <w:rPr>
          <w:color w:val="111111"/>
          <w:sz w:val="22"/>
          <w:szCs w:val="22"/>
        </w:rPr>
        <w:t xml:space="preserve">un servicio añadido que puedes cobrar o no.</w:t>
      </w:r>
    </w:p>
    <w:p>
      <w:pPr>
        <w:pStyle w:val="Heading1"/>
        <w:pBdr>
          <w:bottom w:val="single" w:color="C2490C" w:sz="6" w:space="4"/>
        </w:pBdr>
        <w:spacing w:after="120" w:before="320"/>
      </w:pPr>
      <w:r>
        <w:rPr>
          <w:b/>
          <w:bCs/>
          <w:color w:val="111111"/>
          <w:sz w:val="28"/>
          <w:szCs w:val="28"/>
        </w:rPr>
        <w:t xml:space="preserve">6. Cómo revisarlo (lista rápida)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color w:val="111111"/>
          <w:sz w:val="22"/>
          <w:szCs w:val="22"/>
        </w:rPr>
        <w:t xml:space="preserve">El balance de sumas y saldos cuadra (debe = haber).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color w:val="111111"/>
          <w:sz w:val="22"/>
          <w:szCs w:val="22"/>
        </w:rPr>
        <w:t xml:space="preserve">El saldo bancario contable coincide con el último extracto.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color w:val="111111"/>
          <w:sz w:val="22"/>
          <w:szCs w:val="22"/>
        </w:rPr>
        <w:t xml:space="preserve">La lista «por aclarar» está resuelta o explicada con el cliente.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color w:val="111111"/>
          <w:sz w:val="22"/>
          <w:szCs w:val="22"/>
        </w:rPr>
        <w:t xml:space="preserve">Los movimientos «sin soporte» tienen justificante o criterio tuyo.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color w:val="111111"/>
          <w:sz w:val="22"/>
          <w:szCs w:val="22"/>
        </w:rPr>
        <w:t xml:space="preserve">Los supuestos del cierre (periodificaciones, amortizaciones, insolvencias) son los que tú aplicarías.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color w:val="111111"/>
          <w:sz w:val="22"/>
          <w:szCs w:val="22"/>
        </w:rPr>
        <w:t xml:space="preserve">Los libros de IVA cuadran con lo que vas a presentar; el 303 del agente es orientativo.</w:t>
      </w:r>
    </w:p>
    <w:p>
      <w:pPr>
        <w:pStyle w:val="Heading1"/>
        <w:pBdr>
          <w:bottom w:val="single" w:color="C2490C" w:sz="6" w:space="4"/>
        </w:pBdr>
        <w:spacing w:after="120" w:before="320"/>
      </w:pPr>
      <w:r>
        <w:rPr>
          <w:b/>
          <w:bCs/>
          <w:color w:val="111111"/>
          <w:sz w:val="28"/>
          <w:szCs w:val="28"/>
        </w:rPr>
        <w:t xml:space="preserve">7. Lo que el agente no hace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color w:val="111111"/>
          <w:sz w:val="22"/>
          <w:szCs w:val="22"/>
        </w:rPr>
        <w:t xml:space="preserve">No presenta impuestos ni firma cuentas, ni las deposita en el Registro Mercantil: eso lo haces tú.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color w:val="111111"/>
          <w:sz w:val="22"/>
          <w:szCs w:val="22"/>
        </w:rPr>
        <w:t xml:space="preserve">No inventa cifras: si falta un dato o un justificante, lo pide.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color w:val="111111"/>
          <w:sz w:val="22"/>
          <w:szCs w:val="22"/>
        </w:rPr>
        <w:t xml:space="preserve">No envía nada a nadie sin la aprobación del responsable.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color w:val="111111"/>
          <w:sz w:val="22"/>
          <w:szCs w:val="22"/>
        </w:rPr>
        <w:t xml:space="preserve">No modifica los documentos originales de la carpeta.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color w:val="111111"/>
          <w:sz w:val="22"/>
          <w:szCs w:val="22"/>
        </w:rPr>
        <w:t xml:space="preserve">Todo sale como borrador para que lo valide una persona.</w:t>
      </w:r>
    </w:p>
    <w:p>
      <w:pPr>
        <w:pStyle w:val="Heading1"/>
        <w:pBdr>
          <w:bottom w:val="single" w:color="C2490C" w:sz="6" w:space="4"/>
        </w:pBdr>
        <w:spacing w:after="120" w:before="320"/>
      </w:pPr>
      <w:r>
        <w:rPr>
          <w:b/>
          <w:bCs/>
          <w:color w:val="111111"/>
          <w:sz w:val="28"/>
          <w:szCs w:val="28"/>
        </w:rPr>
        <w:t xml:space="preserve">8. Cómo se trabaja</w:t>
      </w:r>
    </w:p>
    <w:p>
      <w:pPr>
        <w:spacing w:after="120" w:line="300"/>
      </w:pPr>
      <w:r>
        <w:rPr>
          <w:color w:val="111111"/>
          <w:sz w:val="22"/>
          <w:szCs w:val="22"/>
        </w:rPr>
        <w:t xml:space="preserve">Una carpeta por NIF en el Google Drive del cliente, compartida una sola vez con ElectroAsesor. Dentro, cuatro subcarpetas: entrada (lo que deja el cliente), salida (lo que devuelve el agente), estado e histórico. No se instala nada y el cliente puede quitar el acceso con un clic cuando quiera.</w:t>
      </w:r>
    </w:p>
    <w:p>
      <w:pPr>
        <w:spacing w:after="120" w:line="300"/>
      </w:pPr>
      <w:r>
        <w:rPr>
          <w:color w:val="111111"/>
          <w:sz w:val="22"/>
          <w:szCs w:val="22"/>
        </w:rPr>
        <w:t xml:space="preserve">El alta de una cartera se hace por lote, con un Excel con los NIF. Se empieza por tres clientes durante un mes. Hablamos antes de dar de alta: ventas@electroasesor.com.</w:t>
      </w:r>
    </w:p>
    <w:p>
      <w:pPr>
        <w:pBdr>
          <w:top w:val="single" w:color="D8D8D6" w:sz="4" w:space="8"/>
        </w:pBdr>
        <w:spacing w:before="300"/>
      </w:pPr>
      <w:r>
        <w:rPr>
          <w:i/>
          <w:iCs/>
          <w:color w:val="555555"/>
          <w:sz w:val="17"/>
          <w:szCs w:val="17"/>
        </w:rPr>
        <w:t xml:space="preserve">ElectroAsesor presta servicios de asesoramiento técnico asistidos por inteligencia artificial. Los documentos que genera son borradores para su revisión y validación por el profesional responsable, al que corresponde la firma y la presentación.</w:t>
      </w:r>
    </w:p>
    <w:sectPr>
      <w:footerReference w:type="default" r:id="rId7"/>
      <w:pgSz w:w="11906" w:h="16838" w:orient="portrait"/>
      <w:pgMar w:top="850" w:right="1134" w:bottom="850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555555"/>
        <w:sz w:val="17"/>
        <w:szCs w:val="17"/>
      </w:rPr>
      <w:t xml:space="preserve">ElectroAsesor · ventas@electroasesor.com · Página </w:t>
    </w:r>
    <w:r>
      <w:rPr>
        <w:color w:val="555555"/>
        <w:sz w:val="17"/>
        <w:szCs w:val="17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40" w:hanging="27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Contabilidad completa con el agente financiero — Ficha para gestorías</dc:title>
  <dc:creator>ElectroAsesor</dc:creator>
  <cp:lastModifiedBy>Un-named</cp:lastModifiedBy>
  <cp:revision>1</cp:revision>
  <dcterms:created xsi:type="dcterms:W3CDTF">2026-10-05T11:07:39.524Z</dcterms:created>
  <dcterms:modified xsi:type="dcterms:W3CDTF">2026-10-05T11:07:39.524Z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